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1EE" w:rsidRDefault="00520820">
      <w:pPr>
        <w:spacing w:line="360" w:lineRule="auto"/>
        <w:jc w:val="center"/>
        <w:rPr>
          <w:rFonts w:ascii="Arial" w:hAnsi="Arial"/>
        </w:rPr>
      </w:pPr>
      <w:bookmarkStart w:id="0" w:name="_GoBack"/>
      <w:bookmarkEnd w:id="0"/>
      <w:r>
        <w:rPr>
          <w:rFonts w:ascii="Arial" w:hAnsi="Arial"/>
          <w:b/>
        </w:rPr>
        <w:t>RECOMENDAÇÃO ADMINISTRATIVA nº 16/2026</w:t>
      </w:r>
    </w:p>
    <w:p w:rsidR="00F851EE" w:rsidRDefault="00F851EE">
      <w:pPr>
        <w:spacing w:line="360" w:lineRule="auto"/>
        <w:ind w:firstLine="1701"/>
        <w:jc w:val="both"/>
        <w:rPr>
          <w:rFonts w:ascii="Arial" w:hAnsi="Arial"/>
        </w:rPr>
      </w:pPr>
    </w:p>
    <w:p w:rsidR="00F851EE" w:rsidRDefault="00F851EE">
      <w:pPr>
        <w:spacing w:line="360" w:lineRule="auto"/>
        <w:ind w:firstLine="1701"/>
        <w:jc w:val="both"/>
        <w:rPr>
          <w:rFonts w:ascii="Arial" w:hAnsi="Arial"/>
        </w:rPr>
      </w:pP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O MINISTÉRIO PÚBLICO DO ESTADO DE MINAS GERAIS, por seu Órgão de Execução, com fundamento nos artigos 127 e 129, Incisos II e III, da Constituição Federal, na Lei Complementar Estadual n.º 34/94, no artigo 27, </w:t>
      </w:r>
      <w:r>
        <w:rPr>
          <w:rFonts w:ascii="Arial" w:hAnsi="Arial"/>
        </w:rPr>
        <w:t>inciso IV, da Lei n.º 8.625, de 12 de fevereiro de 1993 (Lei Orgânica Nacional do Ministério Público), e no artigo 201, § 5º, alínea ‘c,’ do Estatuto da Criança e do Adolescente - ECA, e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que, nos termos do art. 201, §5º, “c”, do ECA, compete a</w:t>
      </w:r>
      <w:r>
        <w:rPr>
          <w:rFonts w:ascii="Arial" w:hAnsi="Arial"/>
        </w:rPr>
        <w:t>o Ministério Público efetuar recomendações visando à melhoria dos serviços públicos e de relevância pública afetos à criança e ao adolescente, fixando prazo razoável para sua perfeita adequação;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que os Conselhos Tutelares constituem um dos ins</w:t>
      </w:r>
      <w:r>
        <w:rPr>
          <w:rFonts w:ascii="Arial" w:hAnsi="Arial"/>
        </w:rPr>
        <w:t>trumentos mais importantes do Sistema de Garantia de Direitos da Criança e do Adolescente, como órgãos públicos encarregados pela sociedade de zelar pelo cumprimento dos direitos da criança e do adolescente;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que o Conselho Tutelar, órgão públi</w:t>
      </w:r>
      <w:r>
        <w:rPr>
          <w:rFonts w:ascii="Arial" w:hAnsi="Arial"/>
        </w:rPr>
        <w:t>co municipal, essencial na proteção dos direitos da criança e do adolescente, cuja estruturação e manutenção é de responsabilidade exclusiva de todo município, o qual deve, impreterivelmente, prever os recursos necessários em sua proposta orçamentária anua</w:t>
      </w:r>
      <w:r>
        <w:rPr>
          <w:rFonts w:ascii="Arial" w:hAnsi="Arial"/>
        </w:rPr>
        <w:t>l (art. 132 e 134, parágrafo único, da Lei nº 8.069/90) para garantir o funcionamento adequado do respectivo serviço essencial;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que o Conselho Nacional dos Direitos da Criança e do Adolescente – CONANDA, por meio da Resolução n.º 170/2014, exi</w:t>
      </w:r>
      <w:r>
        <w:rPr>
          <w:rFonts w:ascii="Arial" w:hAnsi="Arial"/>
        </w:rPr>
        <w:t>ge que o CONSELHO TUTELAR possua sede específica (imóvel próprio ou locado), composto por salas para atendimento reservado e individual, sala de reunião do colegiado, recepção, banheiros, sala de secretaria e de arquivo, além de equipe técnica multidiscipl</w:t>
      </w:r>
      <w:r>
        <w:rPr>
          <w:rFonts w:ascii="Arial" w:hAnsi="Arial"/>
        </w:rPr>
        <w:t>inar, veículo exclusivo, telefones, fax, computadores, impressoras e demais matérias de escritório, para o desempenho das atividades típicas dos Conselheiros Tutelares;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CONSIDERANDO as informações colhidas na inspeção realizada pelo Ministério Público às i</w:t>
      </w:r>
      <w:r>
        <w:rPr>
          <w:rFonts w:ascii="Arial" w:hAnsi="Arial"/>
        </w:rPr>
        <w:t xml:space="preserve">nstalações do Conselho Tutelar no dia </w:t>
      </w:r>
      <w:r>
        <w:rPr>
          <w:rFonts w:ascii="Arial" w:hAnsi="Arial"/>
        </w:rPr>
        <w:t xml:space="preserve">27/05/2026 </w:t>
      </w:r>
      <w:r>
        <w:rPr>
          <w:rFonts w:ascii="Arial" w:hAnsi="Arial"/>
        </w:rPr>
        <w:t>e consubstanciadas no Instrumento de Inspeção em Conselhos Tutelares (IICT);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a análise comparativa da legislação local de regência do Conselho Tutelar com o restante do arcabouço normativo de di</w:t>
      </w:r>
      <w:r>
        <w:rPr>
          <w:rFonts w:ascii="Arial" w:hAnsi="Arial"/>
        </w:rPr>
        <w:t>reito infanto-juvenil, conforme Instrumento de Análise Legislativa (IAL);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CONSIDERANDO que o não-oferecimento ou oferta irregular de espaço físico, equipamentos, material de consumo, transporte, equipe técnica, remuneração e apoio administrativo adequados </w:t>
      </w:r>
      <w:r>
        <w:rPr>
          <w:rFonts w:ascii="Arial" w:hAnsi="Arial"/>
        </w:rPr>
        <w:t xml:space="preserve">e suficientes para o satisfatório funcionamento do Conselho Tutelar caracteriza omissão grave do Município, privando a comunidade infanto-juvenil e seus familiares de um atendimento de qualidade por parte do órgão municipal encarregado de zelar pelos seus </w:t>
      </w:r>
      <w:r>
        <w:rPr>
          <w:rFonts w:ascii="Arial" w:hAnsi="Arial"/>
        </w:rPr>
        <w:t xml:space="preserve">direitos fundamentais; 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que, de acordo com a Resolução 170/14 do CONANDA, a formação continuada para os membros do Conselho Tutelar é compreendida como o estímulo e o fornecimento dos meios necessários para adequada formação e atualização func</w:t>
      </w:r>
      <w:r>
        <w:rPr>
          <w:rFonts w:ascii="Arial" w:hAnsi="Arial"/>
        </w:rPr>
        <w:t>ional dos membros dos conselhos e seus suplentes, o que inclui, dentre outros, a disponibilização de material informativo, realização de encontros com profissionais que atuam na área da infância e juventude e patrocínio de cursos e palestras sobre o tema;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o disposto no art. 4°, parágrafo único, alínea "c", e do art. 87, I, da Lei n° 8.069/90 (Estatuto da Criança e do Adolescente), que assegura à criança e ao adolescente a garantia de prioridade absoluta na formulação e na execução das políticas</w:t>
      </w:r>
      <w:r>
        <w:rPr>
          <w:rFonts w:ascii="Arial" w:hAnsi="Arial"/>
        </w:rPr>
        <w:t xml:space="preserve"> sociais públicas;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que compete ao Chefe do Poder Executivo determinar as medidas cabíveis para a estruturação do Conselho Tutelar, bem como ofertar a qualificação continuada de seus membros e dos membros do CMDCA;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que constitui at</w:t>
      </w:r>
      <w:r>
        <w:rPr>
          <w:rFonts w:ascii="Arial" w:hAnsi="Arial"/>
        </w:rPr>
        <w:t xml:space="preserve">o de improbidade administrativa retardar ou deixar de praticar, indevidamente, atos de ofícios, notadamente aqueles que assegurem ao Conselho Tutelar a estruturação </w:t>
      </w:r>
      <w:r>
        <w:rPr>
          <w:rFonts w:ascii="Arial" w:hAnsi="Arial"/>
        </w:rPr>
        <w:lastRenderedPageBreak/>
        <w:t>mínima, em espaço físico e instalações que permitam o adequado desempenho das atribuições e</w:t>
      </w:r>
      <w:r>
        <w:rPr>
          <w:rFonts w:ascii="Arial" w:hAnsi="Arial"/>
        </w:rPr>
        <w:t xml:space="preserve"> competências dos conselheiros e o acolhimento digno ao público, bem como aqueles que ofertem capacitação continuada aos Conselheiros Tutelares e Conselheiros dos Direitos;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CONSIDERANDO que constitui crime de responsabilidade negar execução a lei federal, </w:t>
      </w:r>
      <w:r>
        <w:rPr>
          <w:rFonts w:ascii="Arial" w:hAnsi="Arial"/>
        </w:rPr>
        <w:t>estadual ou municipal, ou deixar de cumprir ordem judicial, sem dar o motivo da recusa ou da impossibilidade, por escrito, à autoridade competente (art. 1º, XIV, Dec. Lei 201/67);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CONSIDERANDO o poder normativo dos atos expeditos pelo Conselho Nacional da </w:t>
      </w:r>
      <w:r>
        <w:rPr>
          <w:rFonts w:ascii="Arial" w:hAnsi="Arial"/>
        </w:rPr>
        <w:t>Criança e do Adolescente – CONANDA, previsto nos arts. 227, §7o c/c 204, I, CF, art. 88, II, Lei 8.069/90 e no art. 2º, I, da Lei 8.242/91;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 a disciplina para expedição de recomendações pelo Ministério Público, contidas na Res. 164, de 28 de ma</w:t>
      </w:r>
      <w:r>
        <w:rPr>
          <w:rFonts w:ascii="Arial" w:hAnsi="Arial"/>
        </w:rPr>
        <w:t>rço de 2017, do Conselho Nacional do Ministério Público, e sob a luz dos princípios traçados no art. 2º, do mencionado ato administrativo;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>CONSIDERANDO, portanto, que retardar ou deixar de praticar, indevidamente, o ato de ofício de compor estruturar o Con</w:t>
      </w:r>
      <w:r>
        <w:rPr>
          <w:rFonts w:ascii="Arial" w:hAnsi="Arial"/>
        </w:rPr>
        <w:t>selho Tutelar, assim como ofertar qualificação continuada ao referido Órgão e ao CMDCA, como determina as normas federais acima, configura ato de improbidade administrativa e crime de responsabilidade;</w:t>
      </w: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RESOLVE o MINISTÉRIO PÚBLICO RECOMENDAR ao Município </w:t>
      </w:r>
      <w:r>
        <w:rPr>
          <w:rFonts w:ascii="Arial" w:hAnsi="Arial"/>
          <w:b/>
          <w:bCs/>
        </w:rPr>
        <w:t>B</w:t>
      </w:r>
      <w:r>
        <w:rPr>
          <w:rFonts w:ascii="Arial" w:hAnsi="Arial"/>
          <w:b/>
          <w:bCs/>
        </w:rPr>
        <w:t>ocaina de Minas</w:t>
      </w:r>
      <w:r>
        <w:rPr>
          <w:rFonts w:ascii="Arial" w:hAnsi="Arial"/>
        </w:rPr>
        <w:t>, na pessoa do seu representante legal, ao Conselho Tutelar e ao Conselho Municipal dos Direitos da Criança e do Adolescente, que, no prazo de 60 (sessenta) dias, promovam o reordenamento do Conselho Tutelar nos seguintes termos:</w:t>
      </w:r>
    </w:p>
    <w:p w:rsidR="00F851EE" w:rsidRDefault="00F851EE">
      <w:pPr>
        <w:spacing w:line="360" w:lineRule="auto"/>
        <w:ind w:firstLine="1701"/>
        <w:jc w:val="both"/>
        <w:rPr>
          <w:rFonts w:ascii="Arial" w:hAnsi="Arial"/>
        </w:rPr>
      </w:pP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  <w:b/>
        </w:rPr>
        <w:t>Ao Municíp</w:t>
      </w:r>
      <w:r>
        <w:rPr>
          <w:rFonts w:ascii="Arial" w:hAnsi="Arial"/>
          <w:b/>
        </w:rPr>
        <w:t>io:</w:t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providencie identificação externa da sede do Conselho Tutelar, em boas condições de visibilidade.</w:t>
      </w:r>
      <w:r>
        <w:rPr>
          <w:rStyle w:val="Refdenotaderodap"/>
          <w:rFonts w:ascii="Arial" w:hAnsi="Arial"/>
        </w:rPr>
        <w:footnoteReference w:id="1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Que seja providenciado que a sede do Conselho Tutelar conte com sala para recepção ao público; sala para atendimento dos casos; sala para serviços ad</w:t>
      </w:r>
      <w:r>
        <w:rPr>
          <w:rFonts w:ascii="Arial" w:hAnsi="Arial"/>
        </w:rPr>
        <w:t>ministrativos e sala reservada para os Conselheiros Tutelares, todas em número adequado ao atendimento da demanda, de modo a possibilitar atendimento simultâneos, evitando prejuízos à imagem e à intimidade das crianças e adolescentes atendidos</w:t>
      </w:r>
      <w:r>
        <w:rPr>
          <w:rStyle w:val="Refdenotaderodap"/>
          <w:rFonts w:ascii="Arial" w:hAnsi="Arial"/>
        </w:rPr>
        <w:footnoteReference w:id="2"/>
      </w:r>
      <w:r>
        <w:rPr>
          <w:rFonts w:ascii="Arial" w:hAnsi="Arial"/>
        </w:rPr>
        <w:t>.</w:t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Que sejam </w:t>
      </w:r>
      <w:r>
        <w:rPr>
          <w:rFonts w:ascii="Arial" w:hAnsi="Arial"/>
        </w:rPr>
        <w:t>feitas as adaptações necessárias para que as condições de conservação, higiene, ventilação, iluminação e segurança dos Conselheiros Tutelares sejam adequadas.</w:t>
      </w:r>
      <w:r>
        <w:rPr>
          <w:rStyle w:val="Refdenotaderodap"/>
          <w:rFonts w:ascii="Arial" w:hAnsi="Arial"/>
        </w:rPr>
        <w:footnoteReference w:id="3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Que sejam feitas as adaptações necessárias para que as condições de privacidade e sigilo dos </w:t>
      </w:r>
      <w:r>
        <w:rPr>
          <w:rFonts w:ascii="Arial" w:hAnsi="Arial"/>
        </w:rPr>
        <w:t>atendimentos sejam adequadas.</w:t>
      </w:r>
      <w:r>
        <w:rPr>
          <w:rStyle w:val="Refdenotaderodap"/>
          <w:rFonts w:ascii="Arial" w:hAnsi="Arial"/>
        </w:rPr>
        <w:footnoteReference w:id="4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seja implementado programa de capacitação  continuada aos membros do Conselho Tutelar, em conjunto com os membros deste Conselho e com o CMDCA.</w:t>
      </w:r>
      <w:r>
        <w:rPr>
          <w:rStyle w:val="Refdenotaderodap"/>
          <w:rFonts w:ascii="Arial" w:hAnsi="Arial"/>
        </w:rPr>
        <w:footnoteReference w:id="5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o Conselho Tutelar seja dotado de</w:t>
      </w:r>
      <w:r>
        <w:rPr>
          <w:rStyle w:val="Refdenotaderodap"/>
          <w:rFonts w:ascii="Arial" w:hAnsi="Arial"/>
        </w:rPr>
        <w:footnoteReference w:id="6"/>
      </w:r>
      <w:r>
        <w:rPr>
          <w:rFonts w:ascii="Arial" w:hAnsi="Arial"/>
        </w:rPr>
        <w:t>: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 xml:space="preserve">01 Computador com acesso à internet </w:t>
      </w:r>
      <w:r>
        <w:rPr>
          <w:rFonts w:ascii="Arial" w:hAnsi="Arial"/>
        </w:rPr>
        <w:t xml:space="preserve"> em adequadas condições de uso;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>01 Impressor e 01 copiador em adequadas condições de uso;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>Telefone celular, com rede móvel (linha telefônica).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>Cadeiras para transporte de crianças em veículos, nos termos exigidos pelo CONTRAN ou seja, ao menos: um bebê con</w:t>
      </w:r>
      <w:r>
        <w:rPr>
          <w:rFonts w:ascii="Arial" w:hAnsi="Arial"/>
        </w:rPr>
        <w:t>forto; uma cadeirinha; e um assento de elevação;</w:t>
      </w:r>
      <w:r>
        <w:rPr>
          <w:rStyle w:val="Refdenotaderodap"/>
          <w:rFonts w:ascii="Arial" w:hAnsi="Arial"/>
        </w:rPr>
        <w:footnoteReference w:id="7"/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 xml:space="preserve"> 01Armário e 01 estante em condições adequadas de uso;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>02 Arquivos  em adequadas condições de uso;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>Cadeiras em quantidade suficiente e em adequadas condições de uso;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Mesas em quantidade suficiente e em adeq</w:t>
      </w:r>
      <w:r>
        <w:rPr>
          <w:rFonts w:ascii="Arial" w:hAnsi="Arial"/>
        </w:rPr>
        <w:t>uadas condições de uso;</w:t>
      </w:r>
    </w:p>
    <w:p w:rsidR="00F851EE" w:rsidRDefault="00520820">
      <w:pPr>
        <w:pStyle w:val="PargrafodaLista"/>
        <w:numPr>
          <w:ilvl w:val="1"/>
          <w:numId w:val="1"/>
        </w:numPr>
        <w:spacing w:line="360" w:lineRule="auto"/>
        <w:ind w:left="720" w:firstLine="909"/>
        <w:jc w:val="both"/>
        <w:rPr>
          <w:rFonts w:ascii="Arial" w:hAnsi="Arial"/>
        </w:rPr>
      </w:pPr>
      <w:r>
        <w:rPr>
          <w:rFonts w:ascii="Arial" w:hAnsi="Arial"/>
        </w:rPr>
        <w:t>Ventilador ou ar condicionado em quantidade suficiente e em adequadas condições de uso;</w:t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o Conselho Tutelar seja dotado de pessoal de apoio, auxiliar de serviços gerais</w:t>
      </w:r>
      <w:r>
        <w:rPr>
          <w:rStyle w:val="Refdenotaderodap"/>
          <w:rFonts w:ascii="Arial" w:hAnsi="Arial"/>
        </w:rPr>
        <w:footnoteReference w:id="8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esclareça à rede local sobre a necessidade de comunicar</w:t>
      </w:r>
      <w:r>
        <w:rPr>
          <w:rFonts w:ascii="Arial" w:hAnsi="Arial"/>
        </w:rPr>
        <w:t xml:space="preserve"> ao Conselho Tutelar os casos de suspeita ou confirmação de maus tratos a crianças e adolescentes.</w:t>
      </w:r>
      <w:r>
        <w:rPr>
          <w:rStyle w:val="Refdenotaderodap"/>
          <w:rFonts w:ascii="Arial" w:hAnsi="Arial"/>
        </w:rPr>
        <w:footnoteReference w:id="9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faça constar na Lei Orçamentária Anual previsão de recursos para despesas de manutenção e funcionamento do Conselho Tutelar, bem como remuneração dos Co</w:t>
      </w:r>
      <w:r>
        <w:rPr>
          <w:rFonts w:ascii="Arial" w:hAnsi="Arial"/>
        </w:rPr>
        <w:t>nselheiros Tutelares.</w:t>
      </w:r>
      <w:r>
        <w:rPr>
          <w:rStyle w:val="Refdenotaderodap"/>
          <w:rFonts w:ascii="Arial" w:hAnsi="Arial"/>
        </w:rPr>
        <w:footnoteReference w:id="10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não sejam destinados recursos do Fundo para Infância e Adolescência para as despesas com manutenção e funcionamento do Conselho Tutelar e com a remuneração de seus membros.</w:t>
      </w:r>
      <w:r>
        <w:rPr>
          <w:rStyle w:val="Refdenotaderodap"/>
          <w:rFonts w:ascii="Arial" w:hAnsi="Arial"/>
        </w:rPr>
        <w:footnoteReference w:id="11"/>
      </w:r>
    </w:p>
    <w:p w:rsidR="00F851EE" w:rsidRDefault="00F851EE">
      <w:pPr>
        <w:pStyle w:val="PargrafodaLista"/>
        <w:spacing w:line="360" w:lineRule="auto"/>
        <w:ind w:left="0"/>
        <w:jc w:val="both"/>
      </w:pP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  <w:b/>
        </w:rPr>
        <w:t>Ao Conselho Tutelar</w:t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seja implementada a utilização</w:t>
      </w:r>
      <w:r>
        <w:rPr>
          <w:rFonts w:ascii="Arial" w:hAnsi="Arial"/>
        </w:rPr>
        <w:t xml:space="preserve"> do Sistema de Informação para a Infância e Adolescência (SIPIA).</w:t>
      </w:r>
      <w:r>
        <w:rPr>
          <w:rStyle w:val="Refdenotaderodap"/>
          <w:rFonts w:ascii="Arial" w:hAnsi="Arial"/>
        </w:rPr>
        <w:footnoteReference w:id="12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Que seja encaminhado relatório trimestral contendo a síntese das atividades do Conselho Tutelar e as demandas e deficiências na implementação das políticas públicas ao CMDCA, ao Ministério </w:t>
      </w:r>
      <w:r>
        <w:rPr>
          <w:rFonts w:ascii="Arial" w:hAnsi="Arial"/>
        </w:rPr>
        <w:t>Público e ao Juiz.</w:t>
      </w:r>
      <w:r>
        <w:rPr>
          <w:rStyle w:val="Refdenotaderodap"/>
          <w:rFonts w:ascii="Arial" w:hAnsi="Arial"/>
        </w:rPr>
        <w:footnoteReference w:id="13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esclareça à rede local sobre a necessidade de comunicar ao Conselho Tutelar os casos de suspeita ou confirmação de maus tratos a crianças e adolescentes.</w:t>
      </w:r>
      <w:r>
        <w:rPr>
          <w:rStyle w:val="Refdenotaderodap"/>
          <w:rFonts w:ascii="Arial" w:hAnsi="Arial"/>
        </w:rPr>
        <w:footnoteReference w:id="14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Que o Conselho Tutelar participe de reuniões da rede de atendimento.</w:t>
      </w:r>
      <w:r>
        <w:rPr>
          <w:rStyle w:val="Refdenotaderodap"/>
          <w:rFonts w:ascii="Arial" w:hAnsi="Arial"/>
        </w:rPr>
        <w:footnoteReference w:id="15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Que </w:t>
      </w:r>
      <w:r>
        <w:rPr>
          <w:rFonts w:ascii="Arial" w:hAnsi="Arial"/>
        </w:rPr>
        <w:t>fiscalize as entidades de atendimento do Município.</w:t>
      </w:r>
      <w:r>
        <w:rPr>
          <w:rStyle w:val="Refdenotaderodap"/>
          <w:rFonts w:ascii="Arial" w:hAnsi="Arial"/>
        </w:rPr>
        <w:footnoteReference w:id="16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fiscalize os programas de atendimento.</w:t>
      </w:r>
      <w:r>
        <w:rPr>
          <w:rStyle w:val="Refdenotaderodap"/>
          <w:rFonts w:ascii="Arial" w:hAnsi="Arial"/>
        </w:rPr>
        <w:footnoteReference w:id="17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seja estabelecido, em conjunto com o CMDCA e Município, uma política de qualificação permanente de seus membros.</w:t>
      </w:r>
      <w:r>
        <w:rPr>
          <w:rStyle w:val="Refdenotaderodap"/>
          <w:rFonts w:ascii="Arial" w:hAnsi="Arial"/>
        </w:rPr>
        <w:footnoteReference w:id="18"/>
      </w:r>
    </w:p>
    <w:p w:rsidR="00F851EE" w:rsidRDefault="00F851EE">
      <w:pPr>
        <w:pStyle w:val="PargrafodaLista"/>
        <w:spacing w:line="360" w:lineRule="auto"/>
        <w:ind w:left="1701"/>
        <w:jc w:val="both"/>
        <w:rPr>
          <w:rFonts w:ascii="Arial" w:hAnsi="Arial"/>
        </w:rPr>
      </w:pPr>
    </w:p>
    <w:p w:rsidR="00F851EE" w:rsidRDefault="00520820">
      <w:pPr>
        <w:spacing w:line="360" w:lineRule="auto"/>
        <w:ind w:left="1701"/>
        <w:jc w:val="both"/>
        <w:rPr>
          <w:rFonts w:ascii="Arial" w:hAnsi="Arial"/>
        </w:rPr>
      </w:pPr>
      <w:r>
        <w:rPr>
          <w:rFonts w:ascii="Arial" w:hAnsi="Arial"/>
          <w:b/>
        </w:rPr>
        <w:t>Ao CMDCA</w:t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defina plano de implantação</w:t>
      </w:r>
      <w:r>
        <w:rPr>
          <w:rFonts w:ascii="Arial" w:hAnsi="Arial"/>
        </w:rPr>
        <w:t xml:space="preserve"> do SIPIA para o Conselho Tutelar.</w:t>
      </w:r>
      <w:r>
        <w:rPr>
          <w:rStyle w:val="Refdenotaderodap"/>
          <w:rFonts w:ascii="Arial" w:hAnsi="Arial"/>
        </w:rPr>
        <w:footnoteReference w:id="19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informe ao Conselho Tutelar sobre as entidades que registra.</w:t>
      </w:r>
      <w:r>
        <w:rPr>
          <w:rStyle w:val="Refdenotaderodap"/>
          <w:rFonts w:ascii="Arial" w:hAnsi="Arial"/>
        </w:rPr>
        <w:footnoteReference w:id="20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informe ao Conselho Tutelar sobre os programas que inscreve.</w:t>
      </w:r>
      <w:r>
        <w:rPr>
          <w:rStyle w:val="Refdenotaderodap"/>
          <w:rFonts w:ascii="Arial" w:hAnsi="Arial"/>
        </w:rPr>
        <w:footnoteReference w:id="21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seja estabelecido, em conjunto com o Município e o Conselho Tutelar, uma política de</w:t>
      </w:r>
      <w:r>
        <w:rPr>
          <w:rFonts w:ascii="Arial" w:hAnsi="Arial"/>
        </w:rPr>
        <w:t xml:space="preserve"> qualificação permanente dos membros deste conselho.</w:t>
      </w:r>
      <w:r>
        <w:rPr>
          <w:rStyle w:val="Refdenotaderodap"/>
          <w:rFonts w:ascii="Arial" w:hAnsi="Arial"/>
        </w:rPr>
        <w:footnoteReference w:id="22"/>
      </w:r>
    </w:p>
    <w:p w:rsidR="00F851EE" w:rsidRDefault="00520820">
      <w:pPr>
        <w:pStyle w:val="PargrafodaLista"/>
        <w:numPr>
          <w:ilvl w:val="0"/>
          <w:numId w:val="1"/>
        </w:numPr>
        <w:spacing w:line="360" w:lineRule="auto"/>
        <w:ind w:left="0" w:firstLine="1701"/>
        <w:jc w:val="both"/>
        <w:rPr>
          <w:rFonts w:ascii="Arial" w:hAnsi="Arial"/>
        </w:rPr>
      </w:pPr>
      <w:r>
        <w:rPr>
          <w:rFonts w:ascii="Arial" w:hAnsi="Arial"/>
        </w:rPr>
        <w:t>Que não sejam destinados recursos do Fundo para Infância e Adolescência para as despesas com manutenção e funcionamento do Conselho Tutelar e com a remuneração de seus membros</w:t>
      </w:r>
      <w:r>
        <w:rPr>
          <w:rStyle w:val="Refdenotaderodap"/>
          <w:rFonts w:ascii="Arial" w:hAnsi="Arial"/>
        </w:rPr>
        <w:footnoteReference w:id="23"/>
      </w:r>
      <w:r>
        <w:rPr>
          <w:rFonts w:ascii="Arial" w:hAnsi="Arial"/>
        </w:rPr>
        <w:t>.</w:t>
      </w:r>
    </w:p>
    <w:p w:rsidR="00F851EE" w:rsidRDefault="00F851EE">
      <w:pPr>
        <w:pStyle w:val="PargrafodaLista"/>
        <w:spacing w:line="360" w:lineRule="auto"/>
        <w:ind w:left="1701"/>
        <w:jc w:val="both"/>
        <w:rPr>
          <w:rFonts w:ascii="Arial" w:hAnsi="Arial"/>
        </w:rPr>
      </w:pPr>
    </w:p>
    <w:p w:rsidR="00F851EE" w:rsidRDefault="00520820">
      <w:pPr>
        <w:spacing w:line="360" w:lineRule="auto"/>
        <w:ind w:firstLine="1701"/>
        <w:jc w:val="both"/>
        <w:rPr>
          <w:rFonts w:ascii="Arial" w:hAnsi="Arial"/>
        </w:rPr>
      </w:pPr>
      <w:r>
        <w:rPr>
          <w:rFonts w:ascii="Arial" w:hAnsi="Arial"/>
        </w:rPr>
        <w:t xml:space="preserve">Nos termos do art. 27, </w:t>
      </w:r>
      <w:r>
        <w:rPr>
          <w:rFonts w:ascii="Arial" w:hAnsi="Arial"/>
        </w:rPr>
        <w:t xml:space="preserve">parágrafo único, IV da Lei 8.625/93, REQUISITO, no prazo de 15 (quinze) dias, que o Município apresente a esta Promotoria comprovação da adoção da medida recomendada ou justifique as razões da negativa. REQUISITO, ainda, no mesmo prazo, ao Município, a </w:t>
      </w:r>
      <w:r>
        <w:rPr>
          <w:rFonts w:ascii="Arial" w:hAnsi="Arial"/>
        </w:rPr>
        <w:lastRenderedPageBreak/>
        <w:t>div</w:t>
      </w:r>
      <w:r>
        <w:rPr>
          <w:rFonts w:ascii="Arial" w:hAnsi="Arial"/>
        </w:rPr>
        <w:t>ulgação desta recomendação nos meios de comunicação locais destinados à publicação dos atos oficiais.</w:t>
      </w:r>
    </w:p>
    <w:p w:rsidR="00F851EE" w:rsidRDefault="00F851EE">
      <w:pPr>
        <w:spacing w:line="360" w:lineRule="auto"/>
        <w:ind w:firstLine="1701"/>
        <w:jc w:val="both"/>
        <w:rPr>
          <w:rFonts w:ascii="Arial" w:hAnsi="Arial"/>
        </w:rPr>
      </w:pPr>
    </w:p>
    <w:p w:rsidR="00F851EE" w:rsidRDefault="00520820">
      <w:pPr>
        <w:pStyle w:val="PargrafodaLista"/>
        <w:spacing w:line="360" w:lineRule="auto"/>
        <w:ind w:left="0"/>
        <w:jc w:val="center"/>
        <w:rPr>
          <w:rFonts w:ascii="Arial" w:hAnsi="Arial"/>
        </w:rPr>
      </w:pPr>
      <w:r>
        <w:rPr>
          <w:rFonts w:ascii="Arial" w:hAnsi="Arial"/>
        </w:rPr>
        <w:t>Aiuruoca, datado e assinado eletronicamente</w:t>
      </w:r>
    </w:p>
    <w:p w:rsidR="00F851EE" w:rsidRDefault="00F851EE">
      <w:pPr>
        <w:pStyle w:val="PargrafodaLista"/>
        <w:spacing w:line="360" w:lineRule="auto"/>
        <w:ind w:left="1701"/>
        <w:jc w:val="both"/>
        <w:rPr>
          <w:rFonts w:ascii="Arial" w:hAnsi="Arial"/>
        </w:rPr>
      </w:pPr>
    </w:p>
    <w:p w:rsidR="00F851EE" w:rsidRDefault="00520820">
      <w:pPr>
        <w:pStyle w:val="PargrafodaLista"/>
        <w:spacing w:line="360" w:lineRule="auto"/>
        <w:ind w:left="0"/>
        <w:jc w:val="center"/>
        <w:rPr>
          <w:rFonts w:ascii="Arial" w:hAnsi="Arial"/>
        </w:rPr>
      </w:pPr>
      <w:r>
        <w:rPr>
          <w:rFonts w:ascii="Arial" w:hAnsi="Arial"/>
        </w:rPr>
        <w:t>Promotor de Justiça- EDON J RODARTE FH</w:t>
      </w:r>
    </w:p>
    <w:sectPr w:rsidR="00F851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040" w:right="1134" w:bottom="1134" w:left="2268" w:header="51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820" w:rsidRDefault="00520820">
      <w:r>
        <w:separator/>
      </w:r>
    </w:p>
  </w:endnote>
  <w:endnote w:type="continuationSeparator" w:id="0">
    <w:p w:rsidR="00520820" w:rsidRDefault="00520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1EE" w:rsidRDefault="00F851E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082579"/>
      <w:docPartObj>
        <w:docPartGallery w:val="Page Numbers (Top of Page)"/>
        <w:docPartUnique/>
      </w:docPartObj>
    </w:sdtPr>
    <w:sdtEndPr/>
    <w:sdtContent>
      <w:p w:rsidR="00F851EE" w:rsidRDefault="00520820">
        <w:pPr>
          <w:pStyle w:val="Rodap"/>
          <w:jc w:val="right"/>
          <w:rPr>
            <w:rFonts w:asciiTheme="majorHAnsi" w:hAnsiTheme="majorHAnsi"/>
            <w:sz w:val="18"/>
          </w:rPr>
        </w:pPr>
        <w:r>
          <w:rPr>
            <w:rFonts w:asciiTheme="majorHAnsi" w:hAnsiTheme="majorHAnsi"/>
            <w:sz w:val="18"/>
          </w:rPr>
          <w:t xml:space="preserve">Página </w:t>
        </w:r>
        <w:r>
          <w:rPr>
            <w:rFonts w:ascii="Cambria" w:hAnsi="Cambria"/>
            <w:b/>
            <w:bCs/>
            <w:sz w:val="18"/>
          </w:rPr>
          <w:fldChar w:fldCharType="begin"/>
        </w:r>
        <w:r>
          <w:rPr>
            <w:rFonts w:ascii="Cambria" w:hAnsi="Cambria"/>
            <w:b/>
            <w:bCs/>
            <w:sz w:val="18"/>
          </w:rPr>
          <w:instrText xml:space="preserve"> PAGE </w:instrText>
        </w:r>
        <w:r>
          <w:rPr>
            <w:rFonts w:ascii="Cambria" w:hAnsi="Cambria"/>
            <w:b/>
            <w:bCs/>
            <w:sz w:val="18"/>
          </w:rPr>
          <w:fldChar w:fldCharType="separate"/>
        </w:r>
        <w:r w:rsidR="00AC4C1D">
          <w:rPr>
            <w:rFonts w:ascii="Cambria" w:hAnsi="Cambria"/>
            <w:b/>
            <w:bCs/>
            <w:noProof/>
            <w:sz w:val="18"/>
          </w:rPr>
          <w:t>2</w:t>
        </w:r>
        <w:r>
          <w:rPr>
            <w:rFonts w:ascii="Cambria" w:hAnsi="Cambria"/>
            <w:b/>
            <w:bCs/>
            <w:sz w:val="18"/>
          </w:rPr>
          <w:fldChar w:fldCharType="end"/>
        </w:r>
        <w:r>
          <w:rPr>
            <w:rFonts w:asciiTheme="majorHAnsi" w:hAnsiTheme="majorHAnsi"/>
            <w:sz w:val="18"/>
          </w:rPr>
          <w:t xml:space="preserve"> de </w:t>
        </w:r>
        <w:r>
          <w:rPr>
            <w:rFonts w:ascii="Cambria" w:hAnsi="Cambria"/>
            <w:b/>
            <w:bCs/>
            <w:sz w:val="18"/>
          </w:rPr>
          <w:fldChar w:fldCharType="begin"/>
        </w:r>
        <w:r>
          <w:rPr>
            <w:rFonts w:ascii="Cambria" w:hAnsi="Cambria"/>
            <w:b/>
            <w:bCs/>
            <w:sz w:val="18"/>
          </w:rPr>
          <w:instrText xml:space="preserve"> NUMPAGES </w:instrText>
        </w:r>
        <w:r>
          <w:rPr>
            <w:rFonts w:ascii="Cambria" w:hAnsi="Cambria"/>
            <w:b/>
            <w:bCs/>
            <w:sz w:val="18"/>
          </w:rPr>
          <w:fldChar w:fldCharType="separate"/>
        </w:r>
        <w:r w:rsidR="00AC4C1D">
          <w:rPr>
            <w:rFonts w:ascii="Cambria" w:hAnsi="Cambria"/>
            <w:b/>
            <w:bCs/>
            <w:noProof/>
            <w:sz w:val="18"/>
          </w:rPr>
          <w:t>7</w:t>
        </w:r>
        <w:r>
          <w:rPr>
            <w:rFonts w:ascii="Cambria" w:hAnsi="Cambria"/>
            <w:b/>
            <w:bCs/>
            <w:sz w:val="18"/>
          </w:rPr>
          <w:fldChar w:fldCharType="end"/>
        </w:r>
      </w:p>
    </w:sdtContent>
  </w:sdt>
  <w:p w:rsidR="00F851EE" w:rsidRDefault="00F851EE">
    <w:pPr>
      <w:pStyle w:val="Ttulo3"/>
      <w:pBdr>
        <w:top w:val="thickThinSmallGap" w:sz="18" w:space="1" w:color="808080"/>
      </w:pBdr>
      <w:tabs>
        <w:tab w:val="left" w:pos="885"/>
        <w:tab w:val="center" w:pos="4833"/>
      </w:tabs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934942"/>
      <w:docPartObj>
        <w:docPartGallery w:val="Page Numbers (Top of Page)"/>
        <w:docPartUnique/>
      </w:docPartObj>
    </w:sdtPr>
    <w:sdtEndPr/>
    <w:sdtContent>
      <w:p w:rsidR="00F851EE" w:rsidRDefault="00520820">
        <w:pPr>
          <w:pStyle w:val="Rodap"/>
          <w:jc w:val="right"/>
          <w:rPr>
            <w:rFonts w:asciiTheme="majorHAnsi" w:hAnsiTheme="majorHAnsi"/>
            <w:sz w:val="18"/>
          </w:rPr>
        </w:pPr>
        <w:r>
          <w:rPr>
            <w:rFonts w:asciiTheme="majorHAnsi" w:hAnsiTheme="majorHAnsi"/>
            <w:sz w:val="18"/>
          </w:rPr>
          <w:t xml:space="preserve">Página </w:t>
        </w:r>
        <w:r>
          <w:rPr>
            <w:rFonts w:ascii="Cambria" w:hAnsi="Cambria"/>
            <w:b/>
            <w:bCs/>
            <w:sz w:val="18"/>
          </w:rPr>
          <w:fldChar w:fldCharType="begin"/>
        </w:r>
        <w:r>
          <w:rPr>
            <w:rFonts w:ascii="Cambria" w:hAnsi="Cambria"/>
            <w:b/>
            <w:bCs/>
            <w:sz w:val="18"/>
          </w:rPr>
          <w:instrText xml:space="preserve"> PAGE </w:instrText>
        </w:r>
        <w:r>
          <w:rPr>
            <w:rFonts w:ascii="Cambria" w:hAnsi="Cambria"/>
            <w:b/>
            <w:bCs/>
            <w:sz w:val="18"/>
          </w:rPr>
          <w:fldChar w:fldCharType="separate"/>
        </w:r>
        <w:r>
          <w:rPr>
            <w:rFonts w:ascii="Cambria" w:hAnsi="Cambria"/>
            <w:b/>
            <w:bCs/>
            <w:sz w:val="18"/>
          </w:rPr>
          <w:t>7</w:t>
        </w:r>
        <w:r>
          <w:rPr>
            <w:rFonts w:ascii="Cambria" w:hAnsi="Cambria"/>
            <w:b/>
            <w:bCs/>
            <w:sz w:val="18"/>
          </w:rPr>
          <w:fldChar w:fldCharType="end"/>
        </w:r>
        <w:r>
          <w:rPr>
            <w:rFonts w:asciiTheme="majorHAnsi" w:hAnsiTheme="majorHAnsi"/>
            <w:sz w:val="18"/>
          </w:rPr>
          <w:t xml:space="preserve"> de </w:t>
        </w:r>
        <w:r>
          <w:rPr>
            <w:rFonts w:ascii="Cambria" w:hAnsi="Cambria"/>
            <w:b/>
            <w:bCs/>
            <w:sz w:val="18"/>
          </w:rPr>
          <w:fldChar w:fldCharType="begin"/>
        </w:r>
        <w:r>
          <w:rPr>
            <w:rFonts w:ascii="Cambria" w:hAnsi="Cambria"/>
            <w:b/>
            <w:bCs/>
            <w:sz w:val="18"/>
          </w:rPr>
          <w:instrText xml:space="preserve"> NUMPAGES </w:instrText>
        </w:r>
        <w:r>
          <w:rPr>
            <w:rFonts w:ascii="Cambria" w:hAnsi="Cambria"/>
            <w:b/>
            <w:bCs/>
            <w:sz w:val="18"/>
          </w:rPr>
          <w:fldChar w:fldCharType="separate"/>
        </w:r>
        <w:r>
          <w:rPr>
            <w:rFonts w:ascii="Cambria" w:hAnsi="Cambria"/>
            <w:b/>
            <w:bCs/>
            <w:sz w:val="18"/>
          </w:rPr>
          <w:t>7</w:t>
        </w:r>
        <w:r>
          <w:rPr>
            <w:rFonts w:ascii="Cambria" w:hAnsi="Cambria"/>
            <w:b/>
            <w:bCs/>
            <w:sz w:val="18"/>
          </w:rPr>
          <w:fldChar w:fldCharType="end"/>
        </w:r>
      </w:p>
    </w:sdtContent>
  </w:sdt>
  <w:p w:rsidR="00F851EE" w:rsidRDefault="00F851EE">
    <w:pPr>
      <w:pStyle w:val="Ttulo3"/>
      <w:pBdr>
        <w:top w:val="thickThinSmallGap" w:sz="18" w:space="1" w:color="808080"/>
      </w:pBdr>
      <w:tabs>
        <w:tab w:val="left" w:pos="885"/>
        <w:tab w:val="center" w:pos="4833"/>
      </w:tabs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820" w:rsidRDefault="00520820">
      <w:r>
        <w:separator/>
      </w:r>
    </w:p>
  </w:footnote>
  <w:footnote w:type="continuationSeparator" w:id="0">
    <w:p w:rsidR="00520820" w:rsidRDefault="00520820">
      <w:r>
        <w:continuationSeparator/>
      </w:r>
    </w:p>
  </w:footnote>
  <w:footnote w:id="1">
    <w:p w:rsidR="00F851EE" w:rsidRDefault="00520820">
      <w:pPr>
        <w:pStyle w:val="Textodenotaderodap"/>
        <w:rPr>
          <w:rFonts w:asciiTheme="minorHAnsi" w:hAnsiTheme="minorHAnsi"/>
          <w:szCs w:val="18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</w:rPr>
        <w:t xml:space="preserve"> 5.3. IICT; Art. 17, §1º, I, Res. 170, do CONANDA.</w:t>
      </w:r>
    </w:p>
  </w:footnote>
  <w:footnote w:id="2">
    <w:p w:rsidR="00F851EE" w:rsidRDefault="00520820">
      <w:pPr>
        <w:pStyle w:val="Textodenotaderodap"/>
        <w:rPr>
          <w:rFonts w:asciiTheme="minorHAnsi" w:hAnsiTheme="minorHAnsi"/>
          <w:szCs w:val="18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</w:rPr>
        <w:t xml:space="preserve"> 5.6. IICT; Art. 17, §1º, I a V,</w:t>
      </w:r>
      <w:r>
        <w:rPr>
          <w:rFonts w:asciiTheme="minorHAnsi" w:hAnsiTheme="minorHAnsi"/>
          <w:szCs w:val="18"/>
        </w:rPr>
        <w:t xml:space="preserve"> da Res. 170, CONANDA.</w:t>
      </w:r>
    </w:p>
  </w:footnote>
  <w:footnote w:id="3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5.7. IICT; Art. 17, §1º, Res. 170, CONANDA.</w:t>
      </w:r>
    </w:p>
  </w:footnote>
  <w:footnote w:id="4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5.7, IICT; Art. 17. §2º, Res. 170, CONANDA.</w:t>
      </w:r>
    </w:p>
  </w:footnote>
  <w:footnote w:id="5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9.1 e 9.2. IICT; Art. 4º, §1º, “b”, Res. 170, CONANDA.</w:t>
      </w:r>
    </w:p>
  </w:footnote>
  <w:footnote w:id="6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6. IICT; art. 4º, §1º, Res. 170, CONANDA.</w:t>
      </w:r>
    </w:p>
  </w:footnote>
  <w:footnote w:id="7">
    <w:p w:rsidR="00F851EE" w:rsidRDefault="00520820">
      <w:pPr>
        <w:pStyle w:val="Textodenotaderodap"/>
      </w:pPr>
      <w:r>
        <w:rPr>
          <w:rStyle w:val="Caracteresdenotaderodap"/>
        </w:rPr>
        <w:footnoteRef/>
      </w:r>
      <w:r>
        <w:t xml:space="preserve"> Res. 277, CONTRAN.</w:t>
      </w:r>
    </w:p>
  </w:footnote>
  <w:footnote w:id="8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7.1. IICT; Art. </w:t>
      </w:r>
      <w:r>
        <w:rPr>
          <w:rFonts w:asciiTheme="minorHAnsi" w:hAnsiTheme="minorHAnsi"/>
          <w:szCs w:val="18"/>
          <w:lang w:val="en-US"/>
        </w:rPr>
        <w:t>4º, §4º, Res. 170, CONANDA.</w:t>
      </w:r>
    </w:p>
  </w:footnote>
  <w:footnote w:id="9">
    <w:p w:rsidR="00F851EE" w:rsidRDefault="00520820">
      <w:pPr>
        <w:pStyle w:val="Textodenotaderodap"/>
        <w:rPr>
          <w:rFonts w:asciiTheme="minorHAnsi" w:hAnsiTheme="minorHAnsi"/>
          <w:szCs w:val="18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</w:rPr>
        <w:t xml:space="preserve"> 8.4. IICT; Arts. 13; 94-A, e outros, ECA.</w:t>
      </w:r>
    </w:p>
  </w:footnote>
  <w:footnote w:id="10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10.2. IICT; Art. 4º, caput, Res. 170, CONANDA.</w:t>
      </w:r>
    </w:p>
  </w:footnote>
  <w:footnote w:id="11">
    <w:p w:rsidR="00F851EE" w:rsidRDefault="00520820">
      <w:pPr>
        <w:pStyle w:val="Textodenotaderodap"/>
      </w:pPr>
      <w:r>
        <w:rPr>
          <w:rStyle w:val="Caracteresdenotaderodap"/>
        </w:rPr>
        <w:footnoteRef/>
      </w:r>
      <w:r>
        <w:t xml:space="preserve"> </w:t>
      </w:r>
      <w:r>
        <w:rPr>
          <w:szCs w:val="18"/>
        </w:rPr>
        <w:t>Art. 16, parágrafo único, II, Res. 137, CONANDA</w:t>
      </w:r>
    </w:p>
  </w:footnote>
  <w:footnote w:id="12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3.12. IICT; Art. 23, caput, Res. 170, CONANDA.</w:t>
      </w:r>
    </w:p>
  </w:footnote>
  <w:footnote w:id="13">
    <w:p w:rsidR="00F851EE" w:rsidRDefault="00520820">
      <w:pPr>
        <w:pStyle w:val="Textodenotaderodap"/>
        <w:rPr>
          <w:lang w:val="en-US"/>
        </w:rPr>
      </w:pPr>
      <w:r>
        <w:rPr>
          <w:rStyle w:val="Caracteresdenotaderodap"/>
        </w:rPr>
        <w:footnoteRef/>
      </w:r>
      <w:r>
        <w:rPr>
          <w:lang w:val="en-US"/>
        </w:rPr>
        <w:t xml:space="preserve"> 3.13. IICT; Art. 23, §1º,Res. 170,</w:t>
      </w:r>
      <w:r>
        <w:rPr>
          <w:lang w:val="en-US"/>
        </w:rPr>
        <w:t xml:space="preserve"> CONANDA.</w:t>
      </w:r>
    </w:p>
  </w:footnote>
  <w:footnote w:id="14">
    <w:p w:rsidR="00F851EE" w:rsidRDefault="00520820">
      <w:pPr>
        <w:pStyle w:val="Textodenotaderodap"/>
        <w:rPr>
          <w:rFonts w:asciiTheme="minorHAnsi" w:hAnsiTheme="minorHAnsi"/>
          <w:szCs w:val="18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</w:rPr>
        <w:t xml:space="preserve"> 8.4. IICT; Arts. 13; 94-A, e outros ECA.</w:t>
      </w:r>
    </w:p>
  </w:footnote>
  <w:footnote w:id="15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8.1. IICT; Res. 113, CONANDA.</w:t>
      </w:r>
    </w:p>
  </w:footnote>
  <w:footnote w:id="16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8.2.2. IICT; </w:t>
      </w:r>
      <w:r>
        <w:rPr>
          <w:szCs w:val="18"/>
          <w:lang w:val="en-US"/>
        </w:rPr>
        <w:t>Art. 95, ECA.</w:t>
      </w:r>
    </w:p>
  </w:footnote>
  <w:footnote w:id="17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8.3.2. IICT; </w:t>
      </w:r>
      <w:r>
        <w:rPr>
          <w:szCs w:val="18"/>
          <w:lang w:val="en-US"/>
        </w:rPr>
        <w:t>Art. 95, ECA.</w:t>
      </w:r>
    </w:p>
  </w:footnote>
  <w:footnote w:id="18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9.3. IICT; </w:t>
      </w:r>
      <w:r>
        <w:rPr>
          <w:szCs w:val="18"/>
          <w:lang w:val="en-US"/>
        </w:rPr>
        <w:t>Art. 4º, §1º, “b”, Res. 170, CONANDA.</w:t>
      </w:r>
    </w:p>
  </w:footnote>
  <w:footnote w:id="19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3.12. IICT;</w:t>
      </w:r>
      <w:r>
        <w:rPr>
          <w:lang w:val="en-US"/>
        </w:rPr>
        <w:t xml:space="preserve"> </w:t>
      </w:r>
      <w:r>
        <w:rPr>
          <w:rFonts w:asciiTheme="minorHAnsi" w:hAnsiTheme="minorHAnsi"/>
          <w:szCs w:val="18"/>
          <w:lang w:val="en-US"/>
        </w:rPr>
        <w:t>Art. 23, §3º, Res. 170, CONANDA.</w:t>
      </w:r>
    </w:p>
  </w:footnote>
  <w:footnote w:id="20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8.2. IICT; </w:t>
      </w:r>
      <w:r>
        <w:rPr>
          <w:szCs w:val="18"/>
          <w:lang w:val="en-US"/>
        </w:rPr>
        <w:t>Art. 91, caput, ECA.</w:t>
      </w:r>
    </w:p>
  </w:footnote>
  <w:footnote w:id="21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8.3. IICT; </w:t>
      </w:r>
      <w:r>
        <w:rPr>
          <w:szCs w:val="18"/>
          <w:lang w:val="en-US"/>
        </w:rPr>
        <w:t>A</w:t>
      </w:r>
      <w:r>
        <w:rPr>
          <w:rFonts w:cs="Arial"/>
          <w:color w:val="000000"/>
          <w:szCs w:val="18"/>
          <w:shd w:val="clear" w:color="auto" w:fill="FFFFFF"/>
          <w:lang w:val="en-US"/>
        </w:rPr>
        <w:t>rt. 90, § 1</w:t>
      </w:r>
      <w:r>
        <w:rPr>
          <w:rFonts w:cs="Arial"/>
          <w:color w:val="000000"/>
          <w:szCs w:val="18"/>
          <w:u w:val="single"/>
          <w:shd w:val="clear" w:color="auto" w:fill="FFFFFF"/>
          <w:vertAlign w:val="superscript"/>
          <w:lang w:val="en-US"/>
        </w:rPr>
        <w:t>o</w:t>
      </w:r>
      <w:r>
        <w:rPr>
          <w:rFonts w:cs="Arial"/>
          <w:color w:val="000000"/>
          <w:szCs w:val="18"/>
          <w:shd w:val="clear" w:color="auto" w:fill="FFFFFF"/>
          <w:lang w:val="en-US"/>
        </w:rPr>
        <w:t>, ECA.</w:t>
      </w:r>
    </w:p>
  </w:footnote>
  <w:footnote w:id="22">
    <w:p w:rsidR="00F851EE" w:rsidRDefault="00520820">
      <w:pPr>
        <w:pStyle w:val="Textodenotaderodap"/>
        <w:rPr>
          <w:rFonts w:asciiTheme="minorHAnsi" w:hAnsiTheme="minorHAnsi"/>
          <w:szCs w:val="18"/>
          <w:lang w:val="en-US"/>
        </w:rPr>
      </w:pPr>
      <w:r>
        <w:rPr>
          <w:rStyle w:val="Caracteresdenotaderodap"/>
        </w:rPr>
        <w:footnoteRef/>
      </w:r>
      <w:r>
        <w:rPr>
          <w:rFonts w:asciiTheme="minorHAnsi" w:hAnsiTheme="minorHAnsi"/>
          <w:szCs w:val="18"/>
          <w:lang w:val="en-US"/>
        </w:rPr>
        <w:t xml:space="preserve"> 9.3. IICT; </w:t>
      </w:r>
      <w:r>
        <w:rPr>
          <w:lang w:val="en-US"/>
        </w:rPr>
        <w:t>Art. 49, Res. 170, CONANDA.</w:t>
      </w:r>
    </w:p>
  </w:footnote>
  <w:footnote w:id="23">
    <w:p w:rsidR="00F851EE" w:rsidRDefault="00520820">
      <w:pPr>
        <w:pStyle w:val="Textodenotaderodap"/>
      </w:pPr>
      <w:r>
        <w:rPr>
          <w:rStyle w:val="Caracteresdenotaderodap"/>
        </w:rPr>
        <w:footnoteRef/>
      </w:r>
      <w:r>
        <w:t xml:space="preserve"> 10.3. IICT; </w:t>
      </w:r>
      <w:r>
        <w:rPr>
          <w:szCs w:val="18"/>
        </w:rPr>
        <w:t>Art. 16, parágrafo único, II, Res. 137, CONANDA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1EE" w:rsidRDefault="00F851E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1EE" w:rsidRDefault="00F851EE">
    <w:pPr>
      <w:pStyle w:val="Cabealho"/>
    </w:pPr>
  </w:p>
  <w:tbl>
    <w:tblPr>
      <w:tblW w:w="8850" w:type="dxa"/>
      <w:tblInd w:w="-109" w:type="dxa"/>
      <w:tblLayout w:type="fixed"/>
      <w:tblLook w:val="04A0" w:firstRow="1" w:lastRow="0" w:firstColumn="1" w:lastColumn="0" w:noHBand="0" w:noVBand="1"/>
    </w:tblPr>
    <w:tblGrid>
      <w:gridCol w:w="5818"/>
      <w:gridCol w:w="3032"/>
    </w:tblGrid>
    <w:tr w:rsidR="00F851EE">
      <w:trPr>
        <w:trHeight w:val="1305"/>
      </w:trPr>
      <w:tc>
        <w:tcPr>
          <w:tcW w:w="5817" w:type="dxa"/>
          <w:shd w:val="clear" w:color="auto" w:fill="FFFFFF"/>
        </w:tcPr>
        <w:p w:rsidR="00F851EE" w:rsidRDefault="00520820">
          <w:pPr>
            <w:pStyle w:val="Cabealho"/>
            <w:ind w:left="-115"/>
            <w:rPr>
              <w:highlight w:val="white"/>
            </w:rPr>
          </w:pPr>
          <w:r>
            <w:rPr>
              <w:noProof/>
            </w:rPr>
            <w:drawing>
              <wp:inline distT="0" distB="0" distL="0" distR="0">
                <wp:extent cx="1746885" cy="747395"/>
                <wp:effectExtent l="0" t="0" r="0" b="0"/>
                <wp:docPr id="1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888" t="-2160" r="-888" b="-21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885" cy="747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2" w:type="dxa"/>
          <w:shd w:val="clear" w:color="auto" w:fill="FFFFFF"/>
        </w:tcPr>
        <w:p w:rsidR="00F851EE" w:rsidRDefault="00F851EE">
          <w:pPr>
            <w:pStyle w:val="Cabealho"/>
            <w:tabs>
              <w:tab w:val="center" w:pos="4680"/>
              <w:tab w:val="right" w:pos="9360"/>
            </w:tabs>
            <w:snapToGrid w:val="0"/>
            <w:ind w:left="-115"/>
            <w:jc w:val="right"/>
            <w:rPr>
              <w:rFonts w:ascii="Calibri" w:eastAsia="Calibri" w:hAnsi="Calibri" w:cs="Calibri"/>
              <w:b/>
              <w:bCs/>
              <w:sz w:val="22"/>
              <w:szCs w:val="22"/>
              <w:highlight w:val="white"/>
              <w:lang w:eastAsia="en-US"/>
            </w:rPr>
          </w:pPr>
        </w:p>
        <w:p w:rsidR="00F851EE" w:rsidRDefault="00520820">
          <w:pPr>
            <w:pStyle w:val="Cabealho"/>
            <w:tabs>
              <w:tab w:val="center" w:pos="4680"/>
              <w:tab w:val="right" w:pos="9360"/>
            </w:tabs>
            <w:ind w:left="-115"/>
            <w:jc w:val="right"/>
            <w:rPr>
              <w:rFonts w:ascii="Calibri" w:eastAsia="Calibri" w:hAnsi="Calibri" w:cs="Calibri"/>
              <w:b/>
              <w:bCs/>
              <w:sz w:val="22"/>
              <w:szCs w:val="22"/>
              <w:highlight w:val="white"/>
              <w:lang w:eastAsia="en-US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  <w:highlight w:val="white"/>
              <w:lang w:eastAsia="en-US"/>
            </w:rPr>
            <w:t>Promotoria de Justiça de Aiuruoca/MG</w:t>
          </w:r>
        </w:p>
      </w:tc>
    </w:tr>
  </w:tbl>
  <w:p w:rsidR="00F851EE" w:rsidRDefault="00F851E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51EE" w:rsidRDefault="00F851EE">
    <w:pPr>
      <w:pStyle w:val="Cabealho"/>
    </w:pPr>
  </w:p>
  <w:tbl>
    <w:tblPr>
      <w:tblW w:w="8850" w:type="dxa"/>
      <w:tblInd w:w="-109" w:type="dxa"/>
      <w:tblLayout w:type="fixed"/>
      <w:tblLook w:val="04A0" w:firstRow="1" w:lastRow="0" w:firstColumn="1" w:lastColumn="0" w:noHBand="0" w:noVBand="1"/>
    </w:tblPr>
    <w:tblGrid>
      <w:gridCol w:w="5817"/>
      <w:gridCol w:w="3032"/>
    </w:tblGrid>
    <w:tr w:rsidR="00F851EE">
      <w:trPr>
        <w:trHeight w:val="1305"/>
      </w:trPr>
      <w:tc>
        <w:tcPr>
          <w:tcW w:w="5817" w:type="dxa"/>
          <w:shd w:val="clear" w:color="auto" w:fill="FFFFFF"/>
        </w:tcPr>
        <w:p w:rsidR="00F851EE" w:rsidRDefault="00520820">
          <w:pPr>
            <w:pStyle w:val="Cabealho"/>
            <w:ind w:left="-115"/>
            <w:rPr>
              <w:highlight w:val="white"/>
            </w:rPr>
          </w:pPr>
          <w:r>
            <w:rPr>
              <w:noProof/>
            </w:rPr>
            <w:drawing>
              <wp:inline distT="0" distB="0" distL="0" distR="0">
                <wp:extent cx="1746885" cy="747395"/>
                <wp:effectExtent l="0" t="0" r="0" b="0"/>
                <wp:docPr id="2" name="Figura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igura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888" t="-2160" r="-888" b="-21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6885" cy="747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2" w:type="dxa"/>
          <w:shd w:val="clear" w:color="auto" w:fill="FFFFFF"/>
        </w:tcPr>
        <w:p w:rsidR="00F851EE" w:rsidRDefault="00F851EE">
          <w:pPr>
            <w:pStyle w:val="Cabealho"/>
            <w:tabs>
              <w:tab w:val="center" w:pos="4680"/>
              <w:tab w:val="right" w:pos="9360"/>
            </w:tabs>
            <w:snapToGrid w:val="0"/>
            <w:ind w:left="-115"/>
            <w:jc w:val="right"/>
            <w:rPr>
              <w:rFonts w:ascii="Calibri" w:eastAsia="Calibri" w:hAnsi="Calibri" w:cs="Calibri"/>
              <w:b/>
              <w:bCs/>
              <w:sz w:val="22"/>
              <w:szCs w:val="22"/>
              <w:highlight w:val="white"/>
              <w:lang w:eastAsia="en-US"/>
            </w:rPr>
          </w:pPr>
        </w:p>
        <w:p w:rsidR="00F851EE" w:rsidRDefault="00520820">
          <w:pPr>
            <w:pStyle w:val="Cabealho"/>
            <w:tabs>
              <w:tab w:val="center" w:pos="4680"/>
              <w:tab w:val="right" w:pos="9360"/>
            </w:tabs>
            <w:ind w:left="-115"/>
            <w:jc w:val="right"/>
            <w:rPr>
              <w:rFonts w:ascii="Calibri" w:eastAsia="Calibri" w:hAnsi="Calibri" w:cs="Calibri"/>
              <w:b/>
              <w:bCs/>
              <w:sz w:val="22"/>
              <w:szCs w:val="22"/>
              <w:highlight w:val="white"/>
              <w:lang w:eastAsia="en-US"/>
            </w:rPr>
          </w:pPr>
          <w:r>
            <w:rPr>
              <w:rFonts w:ascii="Calibri" w:eastAsia="Calibri" w:hAnsi="Calibri" w:cs="Calibri"/>
              <w:b/>
              <w:bCs/>
              <w:sz w:val="22"/>
              <w:szCs w:val="22"/>
              <w:highlight w:val="white"/>
              <w:lang w:eastAsia="en-US"/>
            </w:rPr>
            <w:t>Promotoria de Justiça de Aiuruoca/MG</w:t>
          </w:r>
        </w:p>
      </w:tc>
    </w:tr>
  </w:tbl>
  <w:p w:rsidR="00F851EE" w:rsidRDefault="00F851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E554B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7EDE67D9"/>
    <w:multiLevelType w:val="multilevel"/>
    <w:tmpl w:val="913C33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1EE"/>
    <w:rsid w:val="00520820"/>
    <w:rsid w:val="00AC4C1D"/>
    <w:rsid w:val="00F8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FC05A7-0A95-4F52-AD16-1D0F309C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F9C"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420D25"/>
    <w:pPr>
      <w:keepNext/>
      <w:outlineLvl w:val="2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420D25"/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420D25"/>
    <w:rPr>
      <w:sz w:val="24"/>
      <w:szCs w:val="24"/>
    </w:rPr>
  </w:style>
  <w:style w:type="character" w:customStyle="1" w:styleId="Ttulo3Char">
    <w:name w:val="Título 3 Char"/>
    <w:basedOn w:val="Fontepargpadro"/>
    <w:link w:val="Ttulo3"/>
    <w:qFormat/>
    <w:rsid w:val="00420D25"/>
    <w:rPr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16AC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F51F4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F51F4"/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F51F4"/>
    <w:rPr>
      <w:b/>
      <w:bCs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B130F6"/>
    <w:rPr>
      <w:rFonts w:ascii="Calibri" w:hAnsi="Calibri"/>
      <w:sz w:val="18"/>
    </w:rPr>
  </w:style>
  <w:style w:type="character" w:customStyle="1" w:styleId="Caracteresdenotaderodap">
    <w:name w:val="Caracteres de nota de rodapé"/>
    <w:uiPriority w:val="99"/>
    <w:semiHidden/>
    <w:unhideWhenUsed/>
    <w:qFormat/>
    <w:rsid w:val="007A7D05"/>
    <w:rPr>
      <w:vertAlign w:val="superscript"/>
    </w:rPr>
  </w:style>
  <w:style w:type="character" w:customStyle="1" w:styleId="Caracteresdenotaderodapuser">
    <w:name w:val="Caracteres de nota de rodapé (user)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Caracteresdenotadefimuser">
    <w:name w:val="Caracteres de nota de fim (user)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character" w:styleId="Refdenotadefim">
    <w:name w:val="endnote reference"/>
    <w:rPr>
      <w:vertAlign w:val="superscript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nhideWhenUsed/>
    <w:rsid w:val="00420D2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420D2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16AC1"/>
    <w:rPr>
      <w:rFonts w:ascii="Tahoma" w:hAnsi="Tahoma" w:cs="Tahoma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F51F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F51F4"/>
    <w:rPr>
      <w:b/>
      <w:bCs/>
    </w:rPr>
  </w:style>
  <w:style w:type="paragraph" w:styleId="PargrafodaLista">
    <w:name w:val="List Paragraph"/>
    <w:basedOn w:val="Normal"/>
    <w:uiPriority w:val="34"/>
    <w:qFormat/>
    <w:rsid w:val="00497C7E"/>
    <w:pPr>
      <w:ind w:left="720"/>
      <w:contextualSpacing/>
    </w:pPr>
  </w:style>
  <w:style w:type="paragraph" w:styleId="Reviso">
    <w:name w:val="Revision"/>
    <w:uiPriority w:val="99"/>
    <w:semiHidden/>
    <w:qFormat/>
    <w:rsid w:val="00497C7E"/>
    <w:rPr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130F6"/>
    <w:rPr>
      <w:rFonts w:ascii="Calibri" w:hAnsi="Calibri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51305-B4ED-4411-996F-572692E9B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1507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Ministério Público do Estado de Minas Gerais</Company>
  <LinksUpToDate>false</LinksUpToDate>
  <CharactersWithSpaces>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PGJMG</dc:creator>
  <dc:description/>
  <cp:lastModifiedBy>Usuário do Windows</cp:lastModifiedBy>
  <cp:revision>2</cp:revision>
  <cp:lastPrinted>2017-05-24T19:04:00Z</cp:lastPrinted>
  <dcterms:created xsi:type="dcterms:W3CDTF">2026-10-08T13:29:00Z</dcterms:created>
  <dcterms:modified xsi:type="dcterms:W3CDTF">2026-10-08T13:29:00Z</dcterms:modified>
  <dc:language>pt-BR</dc:language>
</cp:coreProperties>
</file>